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FEEB1" w14:textId="01E34FD3" w:rsidR="008A1BD2" w:rsidRPr="007B2A93" w:rsidRDefault="008A1BD2" w:rsidP="008A1BD2">
      <w:pPr>
        <w:tabs>
          <w:tab w:val="num" w:pos="720"/>
        </w:tabs>
        <w:spacing w:after="0" w:line="360" w:lineRule="auto"/>
        <w:ind w:left="720" w:hanging="357"/>
        <w:jc w:val="center"/>
        <w:rPr>
          <w:rFonts w:ascii="Garamond" w:hAnsi="Garamond"/>
          <w:b/>
          <w:bCs/>
          <w:sz w:val="28"/>
          <w:szCs w:val="28"/>
        </w:rPr>
      </w:pPr>
      <w:r w:rsidRPr="007B2A93">
        <w:rPr>
          <w:rFonts w:ascii="Garamond" w:hAnsi="Garamond"/>
          <w:b/>
          <w:bCs/>
          <w:sz w:val="28"/>
          <w:szCs w:val="28"/>
        </w:rPr>
        <w:t>CONSULENZA PEDAGOGIC</w:t>
      </w:r>
      <w:r w:rsidR="007B2A93" w:rsidRPr="007B2A93">
        <w:rPr>
          <w:rFonts w:ascii="Garamond" w:hAnsi="Garamond"/>
          <w:b/>
          <w:bCs/>
          <w:sz w:val="28"/>
          <w:szCs w:val="28"/>
        </w:rPr>
        <w:t>A</w:t>
      </w:r>
      <w:r w:rsidRPr="007B2A93">
        <w:rPr>
          <w:rFonts w:ascii="Garamond" w:hAnsi="Garamond"/>
          <w:b/>
          <w:bCs/>
          <w:sz w:val="28"/>
          <w:szCs w:val="28"/>
        </w:rPr>
        <w:t>: IDENTITA’, FUNZIONI E RUOLI</w:t>
      </w:r>
    </w:p>
    <w:p w14:paraId="0CE5B28C" w14:textId="3C5B3A8C" w:rsidR="008A1BD2" w:rsidRDefault="008A1BD2" w:rsidP="008A1BD2">
      <w:pPr>
        <w:tabs>
          <w:tab w:val="num" w:pos="720"/>
        </w:tabs>
        <w:spacing w:after="0" w:line="360" w:lineRule="auto"/>
        <w:ind w:left="720" w:hanging="357"/>
        <w:jc w:val="center"/>
        <w:rPr>
          <w:rFonts w:ascii="Garamond" w:hAnsi="Garamond"/>
          <w:i/>
          <w:iCs/>
          <w:sz w:val="24"/>
          <w:szCs w:val="24"/>
        </w:rPr>
      </w:pPr>
      <w:r w:rsidRPr="007B2A93">
        <w:rPr>
          <w:rFonts w:ascii="Garamond" w:hAnsi="Garamond"/>
          <w:i/>
          <w:iCs/>
          <w:sz w:val="24"/>
          <w:szCs w:val="24"/>
        </w:rPr>
        <w:t>Prof. Gian Luca Bellisario</w:t>
      </w:r>
    </w:p>
    <w:p w14:paraId="7650ED02" w14:textId="77777777" w:rsidR="007B2A93" w:rsidRPr="007B2A93" w:rsidRDefault="007B2A93" w:rsidP="008A1BD2">
      <w:pPr>
        <w:tabs>
          <w:tab w:val="num" w:pos="720"/>
        </w:tabs>
        <w:spacing w:after="0" w:line="360" w:lineRule="auto"/>
        <w:ind w:left="720" w:hanging="357"/>
        <w:jc w:val="center"/>
        <w:rPr>
          <w:rFonts w:ascii="Garamond" w:hAnsi="Garamond"/>
          <w:i/>
          <w:iCs/>
          <w:sz w:val="24"/>
          <w:szCs w:val="24"/>
        </w:rPr>
      </w:pPr>
    </w:p>
    <w:p w14:paraId="77B03F70" w14:textId="77777777" w:rsidR="008A1BD2" w:rsidRPr="008A1BD2" w:rsidRDefault="008A1BD2" w:rsidP="008A1BD2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Introduzione al concetto di Consulenza Pedagogica</w:t>
      </w:r>
    </w:p>
    <w:p w14:paraId="3F7E994F" w14:textId="19A14AA8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Cos’è la consulenza pedagogica?</w:t>
      </w:r>
      <w:r w:rsidRPr="008A1BD2">
        <w:rPr>
          <w:rFonts w:ascii="Garamond" w:hAnsi="Garamond"/>
        </w:rPr>
        <w:t xml:space="preserve"> è un servizio professionale orientato a supportare persone, gruppi e organizzazioni nell’ottimizzazione dei processi formativi, relazionali e organizzativi.</w:t>
      </w:r>
    </w:p>
    <w:p w14:paraId="76CC3BA5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Chi è il Consulente Pedagogico?</w:t>
      </w:r>
      <w:r w:rsidRPr="008A1BD2">
        <w:rPr>
          <w:rFonts w:ascii="Garamond" w:hAnsi="Garamond"/>
        </w:rPr>
        <w:t xml:space="preserve"> Una figura professionale che unisce competenze educative, psicologiche e metodologiche per analizzare bisogni e proporre strategie di miglioramento.</w:t>
      </w:r>
    </w:p>
    <w:p w14:paraId="141921E1" w14:textId="77777777" w:rsidR="008A1BD2" w:rsidRPr="008A1BD2" w:rsidRDefault="008A1BD2" w:rsidP="008A1BD2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Contesto e finalità della Consulenza Pedagogica nelle Organizzazioni</w:t>
      </w:r>
    </w:p>
    <w:p w14:paraId="23356ECF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Organizzazioni pubbliche:</w:t>
      </w:r>
      <w:r w:rsidRPr="008A1BD2">
        <w:rPr>
          <w:rFonts w:ascii="Garamond" w:hAnsi="Garamond"/>
        </w:rPr>
        <w:t xml:space="preserve"> ad esempio scuole, enti formativi, centri di formazione professionale, ASL, comuni, ecc. In questi contesti, l’intervento pedagogico può riguardare la progettazione di interventi educativi, la supervisione metodologica e la formazione del personale.</w:t>
      </w:r>
    </w:p>
    <w:p w14:paraId="53E8CC45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Organizzazioni private:</w:t>
      </w:r>
      <w:r w:rsidRPr="008A1BD2">
        <w:rPr>
          <w:rFonts w:ascii="Garamond" w:hAnsi="Garamond"/>
        </w:rPr>
        <w:t xml:space="preserve"> aziende, imprese, cooperative sociali, associazioni. Qui la consulenza pedagogica può contribuire a migliorare la comunicazione interna, la formazione continua dei dipendenti, il benessere organizzativo e la gestione dei conflitti.</w:t>
      </w:r>
    </w:p>
    <w:p w14:paraId="24F16170" w14:textId="77777777" w:rsidR="008A1BD2" w:rsidRPr="008A1BD2" w:rsidRDefault="008A1BD2" w:rsidP="008A1BD2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Obiettivi di un Laboratorio di Consulenza Pedagogica</w:t>
      </w:r>
    </w:p>
    <w:p w14:paraId="5B33CE84" w14:textId="3F7F46E4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Sensibilizzare</w:t>
      </w:r>
      <w:r w:rsidRPr="008A1BD2">
        <w:rPr>
          <w:rFonts w:ascii="Garamond" w:hAnsi="Garamond"/>
        </w:rPr>
        <w:t>: comprendere l’importanza del ruolo educativo in ogni organizzazione, anche se non prettamente scolastica.</w:t>
      </w:r>
    </w:p>
    <w:p w14:paraId="6D868D12" w14:textId="6197942A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Metodologie Attive</w:t>
      </w:r>
      <w:r w:rsidRPr="008A1BD2">
        <w:rPr>
          <w:rFonts w:ascii="Garamond" w:hAnsi="Garamond"/>
        </w:rPr>
        <w:t xml:space="preserve">: i partecipanti </w:t>
      </w:r>
      <w:r w:rsidR="00D22AD9">
        <w:rPr>
          <w:rFonts w:ascii="Garamond" w:hAnsi="Garamond"/>
        </w:rPr>
        <w:t>svolgono</w:t>
      </w:r>
      <w:r w:rsidRPr="008A1BD2">
        <w:rPr>
          <w:rFonts w:ascii="Garamond" w:hAnsi="Garamond"/>
        </w:rPr>
        <w:t xml:space="preserve"> attività pratiche, role-playing, simulazioni di situazioni reali per sviluppare capacità di analisi dei problemi educativi o formativi.</w:t>
      </w:r>
    </w:p>
    <w:p w14:paraId="5DDED3B0" w14:textId="4071607A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Strumenti Operativi</w:t>
      </w:r>
      <w:r w:rsidRPr="008A1BD2">
        <w:rPr>
          <w:rFonts w:ascii="Garamond" w:hAnsi="Garamond"/>
        </w:rPr>
        <w:t>:  strategie, modelli, tecniche di osservazione e valutazione, analisi dei bisogni, progettazione di interventi formativi.</w:t>
      </w:r>
    </w:p>
    <w:p w14:paraId="486BF35C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Lavoro sulla Relazione</w:t>
      </w:r>
      <w:r w:rsidRPr="008A1BD2">
        <w:rPr>
          <w:rFonts w:ascii="Garamond" w:hAnsi="Garamond"/>
        </w:rPr>
        <w:t>: sviluppare le competenze emotive e relazionali (ascolto attivo, empatia, problem solving, gestione del conflitto).</w:t>
      </w:r>
    </w:p>
    <w:p w14:paraId="7063E3E4" w14:textId="77777777" w:rsidR="008A1BD2" w:rsidRPr="008A1BD2" w:rsidRDefault="008A1BD2" w:rsidP="008A1BD2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Metodologie e Tecniche per un Laboratorio</w:t>
      </w:r>
    </w:p>
    <w:p w14:paraId="432A8901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Analisi di casi</w:t>
      </w:r>
      <w:r w:rsidRPr="008A1BD2">
        <w:rPr>
          <w:rFonts w:ascii="Garamond" w:hAnsi="Garamond"/>
        </w:rPr>
        <w:t>: lavora su casi concreti, magari esempi di situazioni problematiche in un’azienda o in un ente pubblico, e chiedi ai partecipanti di proporre soluzioni educative.</w:t>
      </w:r>
    </w:p>
    <w:p w14:paraId="51D6C9D9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Role-playing e simulazioni</w:t>
      </w:r>
      <w:r w:rsidRPr="008A1BD2">
        <w:rPr>
          <w:rFonts w:ascii="Garamond" w:hAnsi="Garamond"/>
        </w:rPr>
        <w:t>: i partecipanti si mettono nei panni del consulente pedagogico e di vari stakeholder (responsabili, dipendenti, utenti) per comprendere dinamiche e possibili interventi.</w:t>
      </w:r>
    </w:p>
    <w:p w14:paraId="380A658C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Circle time o dibattiti guidati</w:t>
      </w:r>
      <w:r w:rsidRPr="008A1BD2">
        <w:rPr>
          <w:rFonts w:ascii="Garamond" w:hAnsi="Garamond"/>
        </w:rPr>
        <w:t>: per favorire il confronto e stimolare idee.</w:t>
      </w:r>
    </w:p>
    <w:p w14:paraId="01E66BED" w14:textId="23938156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lastRenderedPageBreak/>
        <w:t>Project work</w:t>
      </w:r>
      <w:r w:rsidRPr="008A1BD2">
        <w:rPr>
          <w:rFonts w:ascii="Garamond" w:hAnsi="Garamond"/>
        </w:rPr>
        <w:t>: i partecipanti progetta</w:t>
      </w:r>
      <w:r w:rsidR="003B526A">
        <w:rPr>
          <w:rFonts w:ascii="Garamond" w:hAnsi="Garamond"/>
        </w:rPr>
        <w:t>no</w:t>
      </w:r>
      <w:r w:rsidRPr="008A1BD2">
        <w:rPr>
          <w:rFonts w:ascii="Garamond" w:hAnsi="Garamond"/>
        </w:rPr>
        <w:t xml:space="preserve"> un intervento di consulenza in un’ipotetica organizzazione.</w:t>
      </w:r>
    </w:p>
    <w:p w14:paraId="60838C32" w14:textId="77777777" w:rsidR="008A1BD2" w:rsidRPr="008A1BD2" w:rsidRDefault="008A1BD2" w:rsidP="008A1BD2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Competenze chiave del Consulente Pedagogico</w:t>
      </w:r>
    </w:p>
    <w:p w14:paraId="31A64457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Capacità di ascolto e di lettura dei bisogni</w:t>
      </w:r>
      <w:r w:rsidRPr="008A1BD2">
        <w:rPr>
          <w:rFonts w:ascii="Garamond" w:hAnsi="Garamond"/>
        </w:rPr>
        <w:t>: saper raccogliere informazioni dalle persone e dal contesto in modo empatico e senza giudizio.</w:t>
      </w:r>
    </w:p>
    <w:p w14:paraId="52987FD7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Competenza metodologica</w:t>
      </w:r>
      <w:r w:rsidRPr="008A1BD2">
        <w:rPr>
          <w:rFonts w:ascii="Garamond" w:hAnsi="Garamond"/>
        </w:rPr>
        <w:t>: saper progettare interventi, monitorarli e valutarli, utilizzando tecniche e modelli aggiornati.</w:t>
      </w:r>
    </w:p>
    <w:p w14:paraId="3F6D4AD3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Flessibilità e problem solving</w:t>
      </w:r>
      <w:r w:rsidRPr="008A1BD2">
        <w:rPr>
          <w:rFonts w:ascii="Garamond" w:hAnsi="Garamond"/>
        </w:rPr>
        <w:t>: adattare l’intervento ai cambiamenti e agli imprevisti che possono emergere nelle organizzazioni.</w:t>
      </w:r>
    </w:p>
    <w:p w14:paraId="5EDC53D2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Soft skills relazionali</w:t>
      </w:r>
      <w:r w:rsidRPr="008A1BD2">
        <w:rPr>
          <w:rFonts w:ascii="Garamond" w:hAnsi="Garamond"/>
        </w:rPr>
        <w:t>: costruire fiducia, gestire tensioni, orientare il gruppo verso obiettivi condivisi.</w:t>
      </w:r>
    </w:p>
    <w:p w14:paraId="458890F5" w14:textId="77777777" w:rsidR="008A1BD2" w:rsidRPr="008A1BD2" w:rsidRDefault="008A1BD2" w:rsidP="008A1BD2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Esempio di Struttura di un Percorso Laboratoriale</w:t>
      </w:r>
    </w:p>
    <w:p w14:paraId="232DCF89" w14:textId="77777777" w:rsidR="008A1BD2" w:rsidRPr="008A1BD2" w:rsidRDefault="008A1BD2" w:rsidP="008A1BD2">
      <w:pPr>
        <w:pStyle w:val="NormaleWeb"/>
        <w:numPr>
          <w:ilvl w:val="1"/>
          <w:numId w:val="2"/>
        </w:numPr>
        <w:spacing w:before="0" w:beforeAutospacing="0" w:after="0" w:afterAutospacing="0" w:line="360" w:lineRule="auto"/>
        <w:ind w:left="1440"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Fase di analisi</w:t>
      </w:r>
      <w:r w:rsidRPr="008A1BD2">
        <w:rPr>
          <w:rFonts w:ascii="Garamond" w:hAnsi="Garamond"/>
        </w:rPr>
        <w:t>: raccolta dati, questionari, interviste.</w:t>
      </w:r>
    </w:p>
    <w:p w14:paraId="2F7F8E04" w14:textId="77777777" w:rsidR="008A1BD2" w:rsidRPr="008A1BD2" w:rsidRDefault="008A1BD2" w:rsidP="008A1BD2">
      <w:pPr>
        <w:pStyle w:val="NormaleWeb"/>
        <w:numPr>
          <w:ilvl w:val="1"/>
          <w:numId w:val="2"/>
        </w:numPr>
        <w:spacing w:before="0" w:beforeAutospacing="0" w:after="0" w:afterAutospacing="0" w:line="360" w:lineRule="auto"/>
        <w:ind w:left="1440"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Restituzione e co-progettazione</w:t>
      </w:r>
      <w:r w:rsidRPr="008A1BD2">
        <w:rPr>
          <w:rFonts w:ascii="Garamond" w:hAnsi="Garamond"/>
        </w:rPr>
        <w:t>: presentazione dei risultati, individuazione di criticità e definizione di priorità d’intervento con i partecipanti.</w:t>
      </w:r>
    </w:p>
    <w:p w14:paraId="4B7801B9" w14:textId="77777777" w:rsidR="008A1BD2" w:rsidRPr="008A1BD2" w:rsidRDefault="008A1BD2" w:rsidP="008A1BD2">
      <w:pPr>
        <w:pStyle w:val="NormaleWeb"/>
        <w:numPr>
          <w:ilvl w:val="1"/>
          <w:numId w:val="2"/>
        </w:numPr>
        <w:spacing w:before="0" w:beforeAutospacing="0" w:after="0" w:afterAutospacing="0" w:line="360" w:lineRule="auto"/>
        <w:ind w:left="1440"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Pianificazione intervento formativo</w:t>
      </w:r>
      <w:r w:rsidRPr="008A1BD2">
        <w:rPr>
          <w:rFonts w:ascii="Garamond" w:hAnsi="Garamond"/>
        </w:rPr>
        <w:t>: scelta delle metodologie didattiche, definizione delle tempistiche e delle risorse necessarie.</w:t>
      </w:r>
    </w:p>
    <w:p w14:paraId="55E700FB" w14:textId="77777777" w:rsidR="008A1BD2" w:rsidRPr="008A1BD2" w:rsidRDefault="008A1BD2" w:rsidP="008A1BD2">
      <w:pPr>
        <w:pStyle w:val="NormaleWeb"/>
        <w:numPr>
          <w:ilvl w:val="1"/>
          <w:numId w:val="2"/>
        </w:numPr>
        <w:spacing w:before="0" w:beforeAutospacing="0" w:after="0" w:afterAutospacing="0" w:line="360" w:lineRule="auto"/>
        <w:ind w:left="1440"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Implementazione</w:t>
      </w:r>
      <w:r w:rsidRPr="008A1BD2">
        <w:rPr>
          <w:rFonts w:ascii="Garamond" w:hAnsi="Garamond"/>
        </w:rPr>
        <w:t>: attuazione delle attività di formazione, consulenza o supervisione.</w:t>
      </w:r>
    </w:p>
    <w:p w14:paraId="1A1D70CE" w14:textId="77777777" w:rsidR="008A1BD2" w:rsidRPr="008A1BD2" w:rsidRDefault="008A1BD2" w:rsidP="008A1BD2">
      <w:pPr>
        <w:pStyle w:val="NormaleWeb"/>
        <w:numPr>
          <w:ilvl w:val="1"/>
          <w:numId w:val="2"/>
        </w:numPr>
        <w:spacing w:before="0" w:beforeAutospacing="0" w:after="0" w:afterAutospacing="0" w:line="360" w:lineRule="auto"/>
        <w:ind w:left="1440"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Valutazione finale</w:t>
      </w:r>
      <w:r w:rsidRPr="008A1BD2">
        <w:rPr>
          <w:rFonts w:ascii="Garamond" w:hAnsi="Garamond"/>
        </w:rPr>
        <w:t>: misurazione degli esiti, analisi di cosa ha funzionato e cosa si può migliorare.</w:t>
      </w:r>
    </w:p>
    <w:p w14:paraId="767D5D95" w14:textId="77777777" w:rsidR="008A1BD2" w:rsidRPr="008A1BD2" w:rsidRDefault="008A1BD2" w:rsidP="008A1BD2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Aspetti Organizzativi e Pratici</w:t>
      </w:r>
    </w:p>
    <w:p w14:paraId="427C19A9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Durata e numero di incontri</w:t>
      </w:r>
      <w:r w:rsidRPr="008A1BD2">
        <w:rPr>
          <w:rFonts w:ascii="Garamond" w:hAnsi="Garamond"/>
        </w:rPr>
        <w:t>: dipende dall’ampiezza del progetto e dalla disponibilità dell’organizzazione.</w:t>
      </w:r>
    </w:p>
    <w:p w14:paraId="2DF13E0A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Materiali</w:t>
      </w:r>
      <w:r w:rsidRPr="008A1BD2">
        <w:rPr>
          <w:rFonts w:ascii="Garamond" w:hAnsi="Garamond"/>
        </w:rPr>
        <w:t>: slide, schede di analisi, casi studio, materiali multimediali.</w:t>
      </w:r>
    </w:p>
    <w:p w14:paraId="1AE5D0B7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Coinvolgimento di figure specialistiche</w:t>
      </w:r>
      <w:r w:rsidRPr="008A1BD2">
        <w:rPr>
          <w:rFonts w:ascii="Garamond" w:hAnsi="Garamond"/>
        </w:rPr>
        <w:t>: psicologi, formatori, esperti di comunicazione o HR, se la complessità dell’organizzazione lo richiede.</w:t>
      </w:r>
    </w:p>
    <w:p w14:paraId="7D84B01A" w14:textId="77777777" w:rsidR="008A1BD2" w:rsidRPr="008A1BD2" w:rsidRDefault="008A1BD2" w:rsidP="008A1BD2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Style w:val="Enfasigrassetto"/>
          <w:rFonts w:ascii="Garamond" w:eastAsiaTheme="majorEastAsia" w:hAnsi="Garamond"/>
        </w:rPr>
        <w:t>Spunti per Riflessioni Conclusive</w:t>
      </w:r>
    </w:p>
    <w:p w14:paraId="6664DB6A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Fonts w:ascii="Garamond" w:hAnsi="Garamond"/>
        </w:rPr>
        <w:t>L’importanza della Consulenza Pedagogica nei contesti organizzativi consiste nella capacità di trasformare il luogo di lavoro in un ambiente di crescita e di apprendimento continuo.</w:t>
      </w:r>
    </w:p>
    <w:p w14:paraId="46426905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Fonts w:ascii="Garamond" w:hAnsi="Garamond"/>
        </w:rPr>
        <w:t>Far cogliere ai partecipanti come i principi della relazione educativa possano essere applicati al management, alla leadership, e alla comunicazione interna.</w:t>
      </w:r>
    </w:p>
    <w:p w14:paraId="7CC3B3CA" w14:textId="77777777" w:rsidR="008A1BD2" w:rsidRPr="008A1BD2" w:rsidRDefault="008A1BD2" w:rsidP="008A1BD2">
      <w:pPr>
        <w:pStyle w:val="NormaleWeb"/>
        <w:numPr>
          <w:ilvl w:val="1"/>
          <w:numId w:val="1"/>
        </w:numPr>
        <w:spacing w:before="0" w:beforeAutospacing="0" w:after="0" w:afterAutospacing="0" w:line="360" w:lineRule="auto"/>
        <w:ind w:hanging="357"/>
        <w:rPr>
          <w:rFonts w:ascii="Garamond" w:hAnsi="Garamond"/>
        </w:rPr>
      </w:pPr>
      <w:r w:rsidRPr="008A1BD2">
        <w:rPr>
          <w:rFonts w:ascii="Garamond" w:hAnsi="Garamond"/>
        </w:rPr>
        <w:t>Sottolineare la necessità di una formazione permanente dei consulenti pedagogici, perché i contesti organizzativi evolvono rapidamente.</w:t>
      </w:r>
    </w:p>
    <w:sectPr w:rsidR="008A1BD2" w:rsidRPr="008A1B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C1A2C"/>
    <w:multiLevelType w:val="multilevel"/>
    <w:tmpl w:val="87984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3232514">
    <w:abstractNumId w:val="0"/>
  </w:num>
  <w:num w:numId="2" w16cid:durableId="638189767">
    <w:abstractNumId w:val="0"/>
    <w:lvlOverride w:ilvl="1">
      <w:lvl w:ilvl="1">
        <w:numFmt w:val="decimal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BD2"/>
    <w:rsid w:val="000121BF"/>
    <w:rsid w:val="001404FD"/>
    <w:rsid w:val="003A682D"/>
    <w:rsid w:val="003B526A"/>
    <w:rsid w:val="004643DD"/>
    <w:rsid w:val="007B2A93"/>
    <w:rsid w:val="008A1BD2"/>
    <w:rsid w:val="00D22AD9"/>
    <w:rsid w:val="00F9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BE2E"/>
  <w15:chartTrackingRefBased/>
  <w15:docId w15:val="{0735B931-4336-4960-8AE0-ECE9ADA5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A1B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1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1B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1B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1B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1B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1B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1B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1B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A1B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1B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1B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1BD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1BD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1BD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1BD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1BD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1BD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A1B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A1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1B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1B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A1B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1BD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A1BD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A1BD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1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1BD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A1BD2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8A1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8A1B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6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644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 Luca Bellisario Presidente Nazionale ANIPED</dc:creator>
  <cp:keywords/>
  <dc:description/>
  <cp:lastModifiedBy>Gian Luca Bellisario Presidente Nazionale ANIPED</cp:lastModifiedBy>
  <cp:revision>6</cp:revision>
  <dcterms:created xsi:type="dcterms:W3CDTF">2025-04-12T06:27:00Z</dcterms:created>
  <dcterms:modified xsi:type="dcterms:W3CDTF">2025-04-12T06:57:00Z</dcterms:modified>
</cp:coreProperties>
</file>